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4318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 xml:space="preserve"> Варнавинский муниципальный округ</w:t>
      </w:r>
      <w:bookmarkEnd w:id="2"/>
    </w:p>
    <w:p>
      <w:pPr>
        <w:spacing w:before="0" w:after="0" w:line="408"/>
        <w:ind w:left="120"/>
        <w:jc w:val="center"/>
      </w:pPr>
      <w:r>
        <w:rPr>
          <w:rFonts w:ascii="Times New Roman" w:hAnsi="Times New Roman"/>
          <w:b/>
          <w:i w:val="false"/>
          <w:color w:val="000000"/>
          <w:sz w:val="28"/>
        </w:rPr>
        <w:t>МБОУ Северная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Северной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Белов С.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№78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7685763)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Северный</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2025</w:t>
      </w:r>
      <w:bookmarkEnd w:id="4"/>
    </w:p>
    <w:p>
      <w:pPr>
        <w:spacing w:before="0" w:after="0"/>
        <w:ind w:left="120"/>
        <w:jc w:val="left"/>
      </w:pPr>
    </w:p>
    <w:bookmarkStart w:name="block-60431862" w:id="5"/>
    <w:p>
      <w:pPr>
        <w:sectPr>
          <w:pgSz w:w="11906" w:h="16383" w:orient="portrait"/>
        </w:sectPr>
      </w:pPr>
    </w:p>
    <w:bookmarkEnd w:id="5"/>
    <w:bookmarkEnd w:id="0"/>
    <w:bookmarkStart w:name="block-60431863"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60431863" w:id="8"/>
    <w:p>
      <w:pPr>
        <w:sectPr>
          <w:pgSz w:w="11906" w:h="16383" w:orient="portrait"/>
        </w:sectPr>
      </w:pPr>
    </w:p>
    <w:bookmarkEnd w:id="8"/>
    <w:bookmarkEnd w:id="6"/>
    <w:bookmarkStart w:name="block-6043186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60431864" w:id="10"/>
    <w:p>
      <w:pPr>
        <w:sectPr>
          <w:pgSz w:w="11906" w:h="16383" w:orient="portrait"/>
        </w:sectPr>
      </w:pPr>
    </w:p>
    <w:bookmarkEnd w:id="10"/>
    <w:bookmarkEnd w:id="9"/>
    <w:bookmarkStart w:name="block-60431865"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60431865" w:id="12"/>
    <w:p>
      <w:pPr>
        <w:sectPr>
          <w:pgSz w:w="11906" w:h="16383" w:orient="portrait"/>
        </w:sectPr>
      </w:pPr>
    </w:p>
    <w:bookmarkEnd w:id="12"/>
    <w:bookmarkEnd w:id="11"/>
    <w:bookmarkStart w:name="block-6043186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60431866" w:id="14"/>
    <w:p>
      <w:pPr>
        <w:sectPr>
          <w:pgSz w:w="16383" w:h="11906" w:orient="landscape"/>
        </w:sectPr>
      </w:pPr>
    </w:p>
    <w:bookmarkEnd w:id="14"/>
    <w:bookmarkEnd w:id="13"/>
    <w:bookmarkStart w:name="block-6043186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азотсодержащих органических соединений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 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59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0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431867" w:id="16"/>
    <w:p>
      <w:pPr>
        <w:sectPr>
          <w:pgSz w:w="16383" w:h="11906" w:orient="landscape"/>
        </w:sectPr>
      </w:pPr>
    </w:p>
    <w:bookmarkEnd w:id="16"/>
    <w:bookmarkEnd w:id="15"/>
    <w:bookmarkStart w:name="block-60431868" w:id="17"/>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tbl>
      <w:tblPr>
        <w:tblW w:w="0" w:type="auto"/>
        <w:tblCellSpacing w:w="0" w:type="nil"/>
        <w:tblInd w:w="144" w:type="dxa"/>
        <w:tblBorders>
          <w:top w:val="single"/>
          <w:left w:val="single"/>
          <w:bottom w:val="single"/>
          <w:right w:val="single"/>
          <w:insideH w:val="single"/>
          <w:insideV w:val="single"/>
        </w:tblBorders>
      </w:tblPr>
      <w:tblGrid>
        <w:gridCol w:w="2840"/>
        <w:gridCol w:w="10781"/>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5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Теоретические основы органической химии </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trPr>
          <w:trHeight w:val="50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Владение системой химических знаний, которая включает: основополагающие понятия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теории и законы (теория химического строения органических веществ A.M. Бутлерова),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 (группе)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определять виды химической связи в органических соединениях (одинарные и кратные)</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Углеводороды. Кислородсодержащие и азотсодержащие органические соединения. Высокомолекулярные соединения</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r>
      <w:tr>
        <w:trPr>
          <w:trHeight w:val="27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r>
      <w:tr>
        <w:trPr>
          <w:trHeight w:val="46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жизнь. Расчёты</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trPr>
          <w:trHeight w:val="304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критически анализировать химическую информацию, получаемую из разных источников (средства массовой информации, сеть Интернет и другие)</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185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703"/>
        <w:gridCol w:w="10903"/>
      </w:tblGrid>
      <w:tr>
        <w:trPr>
          <w:trHeight w:val="795" w:hRule="atLeast"/>
          <w:trHeight w:val="144" w:hRule="atLeast"/>
        </w:trPr>
        <w:tc>
          <w:tcPr>
            <w:tcW w:w="189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9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химии</w:t>
            </w:r>
          </w:p>
        </w:tc>
      </w:tr>
      <w:tr>
        <w:trPr>
          <w:trHeight w:val="52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rFonts w:ascii="Times New Roman" w:hAnsi="Times New Roman"/>
                <w:b w:val="false"/>
                <w:i/>
                <w:color w:val="000000"/>
                <w:spacing w:val="-2"/>
                <w:sz w:val="24"/>
              </w:rPr>
              <w:t>s</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р</w:t>
            </w:r>
            <w:r>
              <w:rPr>
                <w:rFonts w:ascii="Times New Roman" w:hAnsi="Times New Roman"/>
                <w:b w:val="false"/>
                <w:i w:val="false"/>
                <w:color w:val="000000"/>
                <w:spacing w:val="-2"/>
                <w:sz w:val="24"/>
              </w:rPr>
              <w:t xml:space="preserve">-, </w:t>
            </w:r>
            <w:r>
              <w:rPr>
                <w:rFonts w:ascii="Times New Roman" w:hAnsi="Times New Roman"/>
                <w:b w:val="false"/>
                <w:i/>
                <w:color w:val="000000"/>
                <w:spacing w:val="-2"/>
                <w:sz w:val="24"/>
              </w:rPr>
              <w:t>d-</w:t>
            </w:r>
            <w:r>
              <w:rPr>
                <w:rFonts w:ascii="Times New Roman" w:hAnsi="Times New Roman"/>
                <w:b w:val="false"/>
                <w:i w:val="false"/>
                <w:color w:val="000000"/>
                <w:spacing w:val="-2"/>
                <w:sz w:val="24"/>
              </w:rPr>
              <w:t>электронные орбитали атомов, ион, молекула, валентность, электроотрицательность, степень окисления, химическая связь, моль, молярная масса, молярный объём, кристаллическая решётка,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Владение основными методами научного познания веществ и химических явлений (наблюдение, измерение, эксперимент, моделирование)</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определять характер среды в водных растворах неорганических соединений</w:t>
            </w:r>
          </w:p>
        </w:tc>
      </w:tr>
      <w:tr>
        <w:trPr>
          <w:trHeight w:val="25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объяснять зависимость скорости химической реакции от различных факторов</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объяснять характер смещения химического равновесия в зависимости от внешнего воздействия (принцип Ле Шателье)</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Общая и неорганическая химия </w:t>
            </w:r>
          </w:p>
        </w:tc>
      </w:tr>
      <w:tr>
        <w:trPr>
          <w:trHeight w:val="87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tc>
      </w:tr>
      <w:tr>
        <w:trPr>
          <w:trHeight w:val="26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p</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устанавливать принадлежность неорганических веществ по их составу к определённому классу (группе) соединений (простые вещества – металлы и неметаллы, оксиды, основания, кислоты, амфотерные гидроксиды, соли)</w:t>
            </w:r>
          </w:p>
        </w:tc>
      </w:tr>
      <w:tr>
        <w:trPr>
          <w:trHeight w:val="22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r>
      <w:tr>
        <w:trPr>
          <w:trHeight w:val="43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tc>
      </w:tr>
      <w:tr>
        <w:trPr>
          <w:trHeight w:val="17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tc>
      </w:tr>
      <w:tr>
        <w:trPr>
          <w:trHeight w:val="46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жизнь. Расчёты</w:t>
            </w:r>
          </w:p>
        </w:tc>
      </w:tr>
      <w:tr>
        <w:trPr>
          <w:trHeight w:val="234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r>
      <w:tr>
        <w:trPr>
          <w:trHeight w:val="14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критически анализировать химическую информацию, получаемую из разных источников (средства массовой коммуникации, сеть Интернет и другие)</w:t>
            </w:r>
          </w:p>
        </w:tc>
      </w:tr>
      <w:tr>
        <w:trPr>
          <w:trHeight w:val="253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199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w:t>
            </w:r>
          </w:p>
        </w:tc>
      </w:tr>
      <w:tr>
        <w:trPr>
          <w:trHeight w:val="1305"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trPr>
          <w:trHeight w:val="2610" w:hRule="atLeast"/>
          <w:trHeight w:val="144" w:hRule="atLeast"/>
        </w:trPr>
        <w:tc>
          <w:tcPr>
            <w:tcW w:w="1892"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1993"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tc>
      </w:tr>
    </w:tbl>
    <w:bookmarkStart w:name="block-60431868" w:id="18"/>
    <w:p>
      <w:pPr>
        <w:sectPr>
          <w:pgSz w:w="11906" w:h="16383" w:orient="portrait"/>
        </w:sectPr>
      </w:pPr>
    </w:p>
    <w:bookmarkEnd w:id="18"/>
    <w:bookmarkEnd w:id="17"/>
    <w:bookmarkStart w:name="block-60431869" w:id="19"/>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27"/>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49"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органической химии</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Структурные формулы органических веществ. Гомология, изомерия. Химическая связь в органических соединениях – одинарные и кратные связи. Представление о классификации органических веществ</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Номенклатура органических соединений (систематическая) и тривиальные названия важнейших представителей классов органических веществ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Углеводороды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tc>
      </w:tr>
      <w:tr>
        <w:trPr>
          <w:trHeight w:val="168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Кислородсодержащие органические соединения</w:t>
            </w:r>
          </w:p>
        </w:tc>
      </w:tr>
      <w:tr>
        <w:trPr>
          <w:trHeight w:val="26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Фенол: строение молекулы, физические и химические свойства. Токсичность фенола. Применение фенола</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tc>
      </w:tr>
      <w:tr>
        <w:trPr>
          <w:trHeight w:val="174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Сложные эфиры как производные карбоновых кислот. Гидролиз сложных эфиров. Жиры. Гидролиз жиров. Применение жиров. Биологическая роль жиров</w:t>
            </w:r>
          </w:p>
        </w:tc>
      </w:tr>
      <w:tr>
        <w:trPr>
          <w:trHeight w:val="313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3.6</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Азотсодержащие органические соединения</w:t>
            </w:r>
          </w:p>
        </w:tc>
      </w:tr>
      <w:tr>
        <w:trPr>
          <w:trHeight w:val="87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Высокомолекулярные соединения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tc>
      </w:tr>
      <w:tr>
        <w:trPr>
          <w:trHeight w:val="130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49"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Экспериментальные методы изучения веществ и их превращений: ознакомление с образцами природных и искусственных волокон, пластмасс, каучуков. Получение синтетического каучука и резины</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2"/>
        <w:gridCol w:w="12229"/>
      </w:tblGrid>
      <w:tr>
        <w:trPr>
          <w:trHeight w:val="405" w:hRule="atLeast"/>
          <w:trHeight w:val="144" w:hRule="atLeast"/>
        </w:trPr>
        <w:tc>
          <w:tcPr>
            <w:tcW w:w="1065"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5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Теоретические основы химии</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b w:val="false"/>
                <w:i/>
                <w:color w:val="000000"/>
                <w:sz w:val="24"/>
              </w:rPr>
              <w:t>s-</w:t>
            </w:r>
            <w:r>
              <w:rPr>
                <w:rFonts w:ascii="Times New Roman" w:hAnsi="Times New Roman"/>
                <w:b w:val="false"/>
                <w:i w:val="false"/>
                <w:color w:val="000000"/>
                <w:sz w:val="24"/>
              </w:rPr>
              <w:t xml:space="preserve">, </w:t>
            </w:r>
            <w:r>
              <w:rPr>
                <w:rFonts w:ascii="Times New Roman" w:hAnsi="Times New Roman"/>
                <w:b w:val="false"/>
                <w:i/>
                <w:color w:val="000000"/>
                <w:sz w:val="24"/>
              </w:rPr>
              <w:t>p-</w:t>
            </w:r>
            <w:r>
              <w:rPr>
                <w:rFonts w:ascii="Times New Roman" w:hAnsi="Times New Roman"/>
                <w:b w:val="false"/>
                <w:i w:val="false"/>
                <w:color w:val="000000"/>
                <w:sz w:val="24"/>
              </w:rPr>
              <w:t xml:space="preserve">, </w:t>
            </w:r>
            <w:r>
              <w:rPr>
                <w:rFonts w:ascii="Times New Roman" w:hAnsi="Times New Roman"/>
                <w:b w:val="false"/>
                <w:i/>
                <w:color w:val="000000"/>
                <w:sz w:val="24"/>
              </w:rPr>
              <w:t>d-</w:t>
            </w:r>
            <w:r>
              <w:rPr>
                <w:rFonts w:ascii="Times New Roman" w:hAnsi="Times New Roman"/>
                <w:b w:val="false"/>
                <w:i w:val="false"/>
                <w:color w:val="000000"/>
                <w:sz w:val="24"/>
              </w:rPr>
              <w:t>элементы. Особенности распределения электронов по орбиталям в атомах элементов первых четырёх периодов. Электронная конфигурация атомов</w:t>
            </w:r>
          </w:p>
        </w:tc>
      </w:tr>
      <w:tr>
        <w:trPr>
          <w:trHeight w:val="217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Строение вещества. Химическая связь. Виды химической связи (ковалентная неполярная и полярная, ионная, металлическая). Ионы: катионы и анионы. Механизмы образования ковалентной химической связи (обменный и донорно-акцепторный). Водородная связь</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1.4</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Валентность. Электроотрицательность. Степень окисления</w:t>
            </w:r>
          </w:p>
        </w:tc>
      </w:tr>
      <w:tr>
        <w:trPr>
          <w:trHeight w:val="325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1.5</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Понятие о дисперсных системах. Истинные и коллоидные растворы. Массовая доля вещества в растворе</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1.6</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Классификация неорганических соединений. Номенклатура неорганических веществ</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1.7</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1.8</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Скорость реакции, её зависимость от различных факторов</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1.9</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Обратимые реакции. Химическое равновесие. Факторы, влияющие на состояние химического равновесия. Принцип Ле Шателье</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1.10</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Окислительно-восстановительные реакции</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Неорганическая химия </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tc>
      </w:tr>
      <w:tr>
        <w:trPr>
          <w:trHeight w:val="13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Генетическая связь неорганических веществ, принадлежащих к различным классам</w:t>
            </w:r>
          </w:p>
        </w:tc>
      </w:tr>
      <w:tr>
        <w:trPr>
          <w:trHeight w:val="46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 xml:space="preserve">Химия и жизнь </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tc>
      </w:tr>
      <w:tr>
        <w:trPr>
          <w:trHeight w:val="3405"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 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tc>
      </w:tr>
      <w:tr>
        <w:trPr>
          <w:trHeight w:val="870" w:hRule="atLeast"/>
          <w:trHeight w:val="144" w:hRule="atLeast"/>
        </w:trPr>
        <w:tc>
          <w:tcPr>
            <w:tcW w:w="1065"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13451"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r>
    </w:tbl>
    <w:bookmarkStart w:name="block-60431869" w:id="20"/>
    <w:p>
      <w:pPr>
        <w:sectPr>
          <w:pgSz w:w="11906" w:h="16383" w:orient="portrait"/>
        </w:sectPr>
      </w:pPr>
    </w:p>
    <w:bookmarkEnd w:id="20"/>
    <w:bookmarkEnd w:id="19"/>
    <w:bookmarkStart w:name="block-60431870"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0431870"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